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5A" w:rsidRDefault="001E335A" w:rsidP="001E335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1E335A">
        <w:rPr>
          <w:rFonts w:cstheme="minorHAnsi"/>
          <w:b/>
          <w:bCs/>
          <w:sz w:val="24"/>
          <w:szCs w:val="24"/>
        </w:rPr>
        <w:t>03A.3 Safe burials in Mamb</w:t>
      </w:r>
      <w:r>
        <w:rPr>
          <w:rFonts w:cstheme="minorHAnsi"/>
          <w:b/>
          <w:bCs/>
          <w:sz w:val="24"/>
          <w:szCs w:val="24"/>
        </w:rPr>
        <w:t>i</w:t>
      </w:r>
      <w:r w:rsidRPr="001E335A">
        <w:rPr>
          <w:rFonts w:cstheme="minorHAnsi"/>
          <w:b/>
          <w:bCs/>
          <w:sz w:val="24"/>
          <w:szCs w:val="24"/>
        </w:rPr>
        <w:t>a village</w:t>
      </w:r>
    </w:p>
    <w:p w:rsidR="001E335A" w:rsidRDefault="001E335A" w:rsidP="001E335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6B6A72" w:rsidRPr="005555D1" w:rsidRDefault="009C6913" w:rsidP="001E335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555D1">
        <w:rPr>
          <w:rFonts w:cstheme="minorHAnsi"/>
          <w:b/>
          <w:bCs/>
          <w:sz w:val="24"/>
          <w:szCs w:val="24"/>
        </w:rPr>
        <w:t xml:space="preserve">Community engagement </w:t>
      </w:r>
      <w:r w:rsidR="003C50D5">
        <w:rPr>
          <w:rFonts w:cstheme="minorHAnsi"/>
          <w:b/>
          <w:bCs/>
          <w:sz w:val="24"/>
          <w:szCs w:val="24"/>
        </w:rPr>
        <w:t>case-</w:t>
      </w:r>
      <w:r w:rsidRPr="005555D1">
        <w:rPr>
          <w:rFonts w:cstheme="minorHAnsi"/>
          <w:b/>
          <w:bCs/>
          <w:sz w:val="24"/>
          <w:szCs w:val="24"/>
        </w:rPr>
        <w:t>scenario</w:t>
      </w:r>
      <w:r w:rsidR="001E335A">
        <w:rPr>
          <w:rFonts w:cstheme="minorHAnsi"/>
          <w:b/>
          <w:bCs/>
          <w:sz w:val="24"/>
          <w:szCs w:val="24"/>
        </w:rPr>
        <w:t xml:space="preserve"> – Facilitator guide</w:t>
      </w:r>
    </w:p>
    <w:p w:rsidR="006B6A72" w:rsidRPr="005555D1" w:rsidRDefault="006B6A72" w:rsidP="001E335A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9"/>
        <w:gridCol w:w="7887"/>
      </w:tblGrid>
      <w:tr w:rsidR="005555D1" w:rsidRPr="005555D1" w:rsidTr="001E335A"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5D1" w:rsidRPr="005555D1" w:rsidRDefault="005555D1" w:rsidP="001E335A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5555D1">
              <w:rPr>
                <w:rFonts w:cstheme="minorHAnsi"/>
                <w:color w:val="000000"/>
              </w:rPr>
              <w:t>TYPE OF ACTIVITY</w:t>
            </w:r>
          </w:p>
        </w:tc>
        <w:tc>
          <w:tcPr>
            <w:tcW w:w="7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5D1" w:rsidRPr="005555D1" w:rsidRDefault="003C50D5" w:rsidP="001E335A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Case-</w:t>
            </w:r>
            <w:bookmarkStart w:id="0" w:name="_GoBack"/>
            <w:bookmarkEnd w:id="0"/>
            <w:r w:rsidR="001E335A">
              <w:rPr>
                <w:rFonts w:cstheme="minorHAnsi"/>
                <w:color w:val="000000"/>
              </w:rPr>
              <w:t>scenario</w:t>
            </w:r>
          </w:p>
        </w:tc>
      </w:tr>
      <w:tr w:rsidR="005555D1" w:rsidRPr="005555D1" w:rsidTr="001E335A"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5D1" w:rsidRPr="005555D1" w:rsidRDefault="005555D1" w:rsidP="001E335A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5555D1">
              <w:rPr>
                <w:rFonts w:cstheme="minorHAnsi"/>
                <w:color w:val="000000"/>
              </w:rPr>
              <w:t>LEARNING OBJECTIVES</w:t>
            </w:r>
          </w:p>
        </w:tc>
        <w:tc>
          <w:tcPr>
            <w:tcW w:w="7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5D1" w:rsidRPr="005555D1" w:rsidRDefault="005555D1" w:rsidP="001E335A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5555D1">
              <w:rPr>
                <w:rFonts w:cstheme="minorHAnsi"/>
                <w:color w:val="000000"/>
              </w:rPr>
              <w:t>At the end of this activity, participants will be able to:</w:t>
            </w:r>
          </w:p>
          <w:p w:rsidR="001E335A" w:rsidRPr="001E335A" w:rsidRDefault="001E335A" w:rsidP="001E335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1E335A">
              <w:rPr>
                <w:rFonts w:cstheme="minorHAnsi"/>
                <w:color w:val="000000"/>
              </w:rPr>
              <w:t>Discuss the importance of safe burials</w:t>
            </w:r>
          </w:p>
          <w:p w:rsidR="001E335A" w:rsidRPr="001E335A" w:rsidRDefault="001E335A" w:rsidP="001E335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1E335A">
              <w:rPr>
                <w:rFonts w:cstheme="minorHAnsi"/>
                <w:color w:val="000000"/>
              </w:rPr>
              <w:t>Identify beliefs and cultural  practices associated with burials</w:t>
            </w:r>
          </w:p>
          <w:p w:rsidR="001E335A" w:rsidRPr="001E335A" w:rsidRDefault="001E335A" w:rsidP="001E335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1E335A">
              <w:rPr>
                <w:rFonts w:cstheme="minorHAnsi"/>
                <w:color w:val="000000"/>
              </w:rPr>
              <w:t>Discuss challenges and opportunities for encourage  safe burial among Ebola victims</w:t>
            </w:r>
          </w:p>
          <w:p w:rsidR="005555D1" w:rsidRPr="001E335A" w:rsidRDefault="001E335A" w:rsidP="001E335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1E335A">
              <w:rPr>
                <w:rFonts w:cstheme="minorHAnsi"/>
                <w:color w:val="000000"/>
              </w:rPr>
              <w:t>Outline steps required to successful engag</w:t>
            </w:r>
            <w:r>
              <w:rPr>
                <w:rFonts w:cstheme="minorHAnsi"/>
                <w:color w:val="000000"/>
              </w:rPr>
              <w:t>e community healers, elders and</w:t>
            </w:r>
            <w:r w:rsidRPr="001E335A">
              <w:rPr>
                <w:rFonts w:cstheme="minorHAnsi"/>
                <w:color w:val="000000"/>
              </w:rPr>
              <w:t xml:space="preserve"> leaders in safe burials.</w:t>
            </w:r>
          </w:p>
        </w:tc>
      </w:tr>
      <w:tr w:rsidR="005555D1" w:rsidRPr="005555D1" w:rsidTr="001E335A"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5D1" w:rsidRPr="005555D1" w:rsidRDefault="005555D1" w:rsidP="001E335A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5555D1">
              <w:rPr>
                <w:rFonts w:cstheme="minorHAnsi"/>
                <w:color w:val="000000"/>
              </w:rPr>
              <w:t>SUGGESTED TIME</w:t>
            </w:r>
          </w:p>
        </w:tc>
        <w:tc>
          <w:tcPr>
            <w:tcW w:w="7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55D1" w:rsidRPr="005555D1" w:rsidRDefault="001E335A" w:rsidP="001E335A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60’</w:t>
            </w:r>
          </w:p>
        </w:tc>
      </w:tr>
      <w:tr w:rsidR="005555D1" w:rsidRPr="005555D1" w:rsidTr="001E335A"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5D1" w:rsidRDefault="001E335A" w:rsidP="001E335A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STEPS</w:t>
            </w:r>
          </w:p>
          <w:p w:rsidR="001E335A" w:rsidRPr="005555D1" w:rsidRDefault="001E335A" w:rsidP="001E335A">
            <w:pPr>
              <w:spacing w:after="0" w:line="240" w:lineRule="auto"/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7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335A" w:rsidRPr="006941F2" w:rsidRDefault="001E335A" w:rsidP="001E335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6941F2">
              <w:rPr>
                <w:rFonts w:cstheme="minorHAnsi"/>
                <w:color w:val="000000"/>
              </w:rPr>
              <w:t>Divide the  participants into groups</w:t>
            </w:r>
            <w:r>
              <w:rPr>
                <w:rFonts w:cstheme="minorHAnsi"/>
                <w:color w:val="000000"/>
              </w:rPr>
              <w:t xml:space="preserve"> (5’)</w:t>
            </w:r>
          </w:p>
          <w:p w:rsidR="001E335A" w:rsidRDefault="001E335A" w:rsidP="001E335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6941F2">
              <w:rPr>
                <w:rFonts w:cstheme="minorHAnsi"/>
                <w:color w:val="000000"/>
              </w:rPr>
              <w:t>Read the instruction</w:t>
            </w:r>
            <w:r>
              <w:rPr>
                <w:rFonts w:cstheme="minorHAnsi"/>
                <w:color w:val="000000"/>
              </w:rPr>
              <w:t>s</w:t>
            </w:r>
            <w:r w:rsidRPr="006941F2">
              <w:rPr>
                <w:rFonts w:cstheme="minorHAnsi"/>
                <w:color w:val="000000"/>
              </w:rPr>
              <w:t xml:space="preserve"> for the exercise </w:t>
            </w:r>
            <w:r>
              <w:rPr>
                <w:rFonts w:cstheme="minorHAnsi"/>
                <w:color w:val="000000"/>
              </w:rPr>
              <w:t>(5’)</w:t>
            </w:r>
          </w:p>
          <w:p w:rsidR="001E335A" w:rsidRPr="006941F2" w:rsidRDefault="001E335A" w:rsidP="001E335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Group work (20’)</w:t>
            </w:r>
          </w:p>
          <w:p w:rsidR="001E335A" w:rsidRDefault="001E335A" w:rsidP="001E335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Ask the group members to share their responses</w:t>
            </w:r>
            <w:r w:rsidRPr="006941F2">
              <w:rPr>
                <w:rFonts w:cstheme="minorHAnsi"/>
                <w:color w:val="000000"/>
              </w:rPr>
              <w:t xml:space="preserve"> and present them </w:t>
            </w:r>
            <w:r>
              <w:rPr>
                <w:rFonts w:cstheme="minorHAnsi"/>
                <w:color w:val="000000"/>
              </w:rPr>
              <w:t>during plenary (20’)</w:t>
            </w:r>
          </w:p>
          <w:p w:rsidR="005555D1" w:rsidRPr="001E335A" w:rsidRDefault="001E335A" w:rsidP="001E335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1E335A">
              <w:rPr>
                <w:rFonts w:cstheme="minorHAnsi"/>
                <w:color w:val="000000"/>
              </w:rPr>
              <w:t>Highlight key messages (10’)</w:t>
            </w:r>
          </w:p>
        </w:tc>
      </w:tr>
    </w:tbl>
    <w:p w:rsidR="005555D1" w:rsidRPr="005555D1" w:rsidRDefault="005555D1" w:rsidP="001E335A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1E335A" w:rsidRDefault="001E335A" w:rsidP="001E335A">
      <w:pPr>
        <w:spacing w:after="0" w:line="240" w:lineRule="auto"/>
        <w:jc w:val="both"/>
        <w:rPr>
          <w:rFonts w:cstheme="minorHAnsi"/>
          <w:bCs/>
          <w:color w:val="000000"/>
        </w:rPr>
      </w:pPr>
    </w:p>
    <w:p w:rsidR="001E335A" w:rsidRPr="001E335A" w:rsidRDefault="001E335A" w:rsidP="001E335A">
      <w:pPr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1E335A">
        <w:rPr>
          <w:rFonts w:cstheme="minorHAnsi"/>
          <w:b/>
          <w:bCs/>
          <w:color w:val="000000"/>
          <w:sz w:val="24"/>
          <w:szCs w:val="24"/>
        </w:rPr>
        <w:t xml:space="preserve">A. The situation </w:t>
      </w:r>
    </w:p>
    <w:p w:rsidR="001E335A" w:rsidRDefault="001E335A" w:rsidP="001E335A">
      <w:pPr>
        <w:spacing w:after="0" w:line="240" w:lineRule="auto"/>
        <w:jc w:val="both"/>
        <w:rPr>
          <w:rFonts w:cstheme="minorHAnsi"/>
          <w:bCs/>
          <w:color w:val="000000"/>
        </w:rPr>
      </w:pPr>
    </w:p>
    <w:p w:rsidR="00E35CA7" w:rsidRDefault="006A35E8" w:rsidP="001E335A">
      <w:pPr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1E335A">
        <w:rPr>
          <w:rFonts w:cstheme="minorHAnsi"/>
          <w:bCs/>
          <w:color w:val="000000"/>
        </w:rPr>
        <w:t xml:space="preserve">The </w:t>
      </w:r>
      <w:r w:rsidR="001C3782" w:rsidRPr="001E335A">
        <w:rPr>
          <w:rFonts w:cstheme="minorHAnsi"/>
          <w:bCs/>
          <w:color w:val="000000"/>
        </w:rPr>
        <w:t>Mambia Village agreed</w:t>
      </w:r>
      <w:r w:rsidRPr="001E335A">
        <w:rPr>
          <w:rFonts w:cstheme="minorHAnsi"/>
          <w:bCs/>
          <w:color w:val="000000"/>
        </w:rPr>
        <w:t xml:space="preserve"> on a </w:t>
      </w:r>
      <w:r w:rsidR="001C3782" w:rsidRPr="001E335A">
        <w:rPr>
          <w:rFonts w:cstheme="minorHAnsi"/>
          <w:bCs/>
          <w:color w:val="000000"/>
        </w:rPr>
        <w:t>new procedure</w:t>
      </w:r>
      <w:r w:rsidRPr="001E335A">
        <w:rPr>
          <w:rFonts w:cstheme="minorHAnsi"/>
          <w:bCs/>
          <w:color w:val="000000"/>
        </w:rPr>
        <w:t xml:space="preserve"> </w:t>
      </w:r>
      <w:r w:rsidR="001C3782" w:rsidRPr="001E335A">
        <w:rPr>
          <w:rFonts w:cstheme="minorHAnsi"/>
          <w:bCs/>
          <w:color w:val="000000"/>
        </w:rPr>
        <w:t>to implement safe</w:t>
      </w:r>
      <w:r w:rsidRPr="001E335A">
        <w:rPr>
          <w:rFonts w:cstheme="minorHAnsi"/>
          <w:bCs/>
          <w:color w:val="000000"/>
        </w:rPr>
        <w:t xml:space="preserve"> </w:t>
      </w:r>
      <w:r w:rsidR="001C3782" w:rsidRPr="001E335A">
        <w:rPr>
          <w:rFonts w:cstheme="minorHAnsi"/>
          <w:bCs/>
          <w:color w:val="000000"/>
        </w:rPr>
        <w:t>burials in</w:t>
      </w:r>
      <w:r w:rsidRPr="001E335A">
        <w:rPr>
          <w:rFonts w:cstheme="minorHAnsi"/>
          <w:bCs/>
          <w:color w:val="000000"/>
        </w:rPr>
        <w:t xml:space="preserve"> their community.   </w:t>
      </w:r>
      <w:r w:rsidR="001C3782" w:rsidRPr="001E335A">
        <w:rPr>
          <w:rFonts w:cstheme="minorHAnsi"/>
          <w:bCs/>
          <w:color w:val="000000"/>
        </w:rPr>
        <w:t>The chief</w:t>
      </w:r>
      <w:r w:rsidRPr="001E335A">
        <w:rPr>
          <w:rFonts w:cstheme="minorHAnsi"/>
          <w:bCs/>
          <w:color w:val="000000"/>
        </w:rPr>
        <w:t xml:space="preserve"> </w:t>
      </w:r>
      <w:r w:rsidR="001C3782" w:rsidRPr="001E335A">
        <w:rPr>
          <w:rFonts w:cstheme="minorHAnsi"/>
          <w:bCs/>
          <w:color w:val="000000"/>
        </w:rPr>
        <w:t>and safe</w:t>
      </w:r>
      <w:r w:rsidRPr="001E335A">
        <w:rPr>
          <w:rFonts w:cstheme="minorHAnsi"/>
          <w:bCs/>
          <w:color w:val="000000"/>
        </w:rPr>
        <w:t xml:space="preserve"> burial </w:t>
      </w:r>
      <w:r w:rsidR="001C3782" w:rsidRPr="001E335A">
        <w:rPr>
          <w:rFonts w:cstheme="minorHAnsi"/>
          <w:bCs/>
          <w:color w:val="000000"/>
        </w:rPr>
        <w:t>committee was charged</w:t>
      </w:r>
      <w:r w:rsidRPr="001E335A">
        <w:rPr>
          <w:rFonts w:cstheme="minorHAnsi"/>
          <w:bCs/>
          <w:color w:val="000000"/>
        </w:rPr>
        <w:t xml:space="preserve"> with the responsibility </w:t>
      </w:r>
      <w:r w:rsidR="001C3782" w:rsidRPr="001E335A">
        <w:rPr>
          <w:rFonts w:cstheme="minorHAnsi"/>
          <w:bCs/>
          <w:color w:val="000000"/>
        </w:rPr>
        <w:t>of ensuring</w:t>
      </w:r>
      <w:r w:rsidRPr="001E335A">
        <w:rPr>
          <w:rFonts w:cstheme="minorHAnsi"/>
          <w:bCs/>
          <w:color w:val="000000"/>
        </w:rPr>
        <w:t xml:space="preserve"> </w:t>
      </w:r>
      <w:r w:rsidR="001C3782" w:rsidRPr="001E335A">
        <w:rPr>
          <w:rFonts w:cstheme="minorHAnsi"/>
          <w:bCs/>
          <w:color w:val="000000"/>
        </w:rPr>
        <w:t>that families</w:t>
      </w:r>
      <w:r w:rsidRPr="001E335A">
        <w:rPr>
          <w:rFonts w:cstheme="minorHAnsi"/>
          <w:bCs/>
          <w:color w:val="000000"/>
        </w:rPr>
        <w:t xml:space="preserve"> that have lost their </w:t>
      </w:r>
      <w:r w:rsidR="001C3782" w:rsidRPr="001E335A">
        <w:rPr>
          <w:rFonts w:cstheme="minorHAnsi"/>
          <w:bCs/>
          <w:color w:val="000000"/>
        </w:rPr>
        <w:t>members from</w:t>
      </w:r>
      <w:r w:rsidRPr="001E335A">
        <w:rPr>
          <w:rFonts w:cstheme="minorHAnsi"/>
          <w:bCs/>
          <w:color w:val="000000"/>
        </w:rPr>
        <w:t xml:space="preserve"> </w:t>
      </w:r>
      <w:r w:rsidR="001C3782" w:rsidRPr="001E335A">
        <w:rPr>
          <w:rFonts w:cstheme="minorHAnsi"/>
          <w:bCs/>
          <w:color w:val="000000"/>
        </w:rPr>
        <w:t>Ebola comply with the set standards introduced by the</w:t>
      </w:r>
      <w:r w:rsidRPr="001E335A">
        <w:rPr>
          <w:rFonts w:cstheme="minorHAnsi"/>
          <w:bCs/>
          <w:color w:val="000000"/>
        </w:rPr>
        <w:t xml:space="preserve"> health workers. However, it was noticed that </w:t>
      </w:r>
      <w:r w:rsidR="001C3782" w:rsidRPr="001E335A">
        <w:rPr>
          <w:rFonts w:cstheme="minorHAnsi"/>
          <w:bCs/>
          <w:color w:val="000000"/>
        </w:rPr>
        <w:t xml:space="preserve">some family members in many villages hide their dead bodies and buried them at night after performing burial rituals. Specifically,  one  of the elders and  </w:t>
      </w:r>
      <w:r w:rsidR="00E35CA7" w:rsidRPr="001E335A">
        <w:rPr>
          <w:rFonts w:cstheme="minorHAnsi"/>
          <w:bCs/>
          <w:color w:val="000000"/>
        </w:rPr>
        <w:t>renowned</w:t>
      </w:r>
      <w:r w:rsidR="001C3782" w:rsidRPr="001E335A">
        <w:rPr>
          <w:rFonts w:cstheme="minorHAnsi"/>
          <w:bCs/>
          <w:color w:val="000000"/>
        </w:rPr>
        <w:t xml:space="preserve"> traditional  healer in  Zondela  village warned  that  if burial rites are not fully performed </w:t>
      </w:r>
      <w:r w:rsidRPr="001E335A">
        <w:rPr>
          <w:rFonts w:cstheme="minorHAnsi"/>
          <w:bCs/>
          <w:color w:val="000000"/>
        </w:rPr>
        <w:t xml:space="preserve"> </w:t>
      </w:r>
      <w:r w:rsidR="001C3782" w:rsidRPr="001E335A">
        <w:rPr>
          <w:rFonts w:cstheme="minorHAnsi"/>
          <w:bCs/>
          <w:color w:val="000000"/>
        </w:rPr>
        <w:t xml:space="preserve">for any  disease they will not enter  in heaven. </w:t>
      </w:r>
      <w:r w:rsidR="001E335A">
        <w:rPr>
          <w:rFonts w:cstheme="minorHAnsi"/>
          <w:bCs/>
          <w:color w:val="000000"/>
        </w:rPr>
        <w:t>“</w:t>
      </w:r>
      <w:r w:rsidR="001C3782" w:rsidRPr="001E335A">
        <w:rPr>
          <w:rFonts w:cstheme="minorHAnsi"/>
          <w:bCs/>
          <w:i/>
          <w:color w:val="000000"/>
        </w:rPr>
        <w:t xml:space="preserve">This </w:t>
      </w:r>
      <w:r w:rsidR="001E335A" w:rsidRPr="001E335A">
        <w:rPr>
          <w:rFonts w:cstheme="minorHAnsi"/>
          <w:bCs/>
          <w:i/>
          <w:color w:val="000000"/>
        </w:rPr>
        <w:t xml:space="preserve">is a </w:t>
      </w:r>
      <w:r w:rsidR="001C3782" w:rsidRPr="001E335A">
        <w:rPr>
          <w:rFonts w:cstheme="minorHAnsi"/>
          <w:bCs/>
          <w:i/>
          <w:color w:val="000000"/>
        </w:rPr>
        <w:t>serious offence in our culture</w:t>
      </w:r>
      <w:r w:rsidR="001E335A">
        <w:rPr>
          <w:rFonts w:cstheme="minorHAnsi"/>
          <w:bCs/>
          <w:i/>
          <w:color w:val="000000"/>
        </w:rPr>
        <w:t xml:space="preserve">”, </w:t>
      </w:r>
      <w:r w:rsidR="001E335A" w:rsidRPr="001E335A">
        <w:rPr>
          <w:rFonts w:cstheme="minorHAnsi"/>
          <w:bCs/>
          <w:color w:val="000000"/>
        </w:rPr>
        <w:t>he said</w:t>
      </w:r>
      <w:r w:rsidR="001C3782" w:rsidRPr="001E335A">
        <w:rPr>
          <w:rFonts w:cstheme="minorHAnsi"/>
          <w:bCs/>
          <w:color w:val="000000"/>
        </w:rPr>
        <w:t>.</w:t>
      </w:r>
      <w:r w:rsidR="001C3782" w:rsidRPr="001E335A">
        <w:rPr>
          <w:rFonts w:cstheme="minorHAnsi"/>
          <w:b/>
          <w:bCs/>
          <w:color w:val="000000"/>
        </w:rPr>
        <w:t xml:space="preserve">  </w:t>
      </w:r>
      <w:r w:rsidR="00E35CA7" w:rsidRPr="001E335A">
        <w:rPr>
          <w:rFonts w:cstheme="minorHAnsi"/>
          <w:bCs/>
          <w:color w:val="000000"/>
        </w:rPr>
        <w:t>Most of community members in Zondela listen to the advice given by the elder and resisted to carryout safer burials advice for fear of contravening ancestral laws</w:t>
      </w:r>
      <w:r w:rsidR="00E35CA7" w:rsidRPr="001E335A">
        <w:rPr>
          <w:rFonts w:cstheme="minorHAnsi"/>
          <w:b/>
          <w:bCs/>
          <w:color w:val="000000"/>
        </w:rPr>
        <w:t xml:space="preserve">. </w:t>
      </w:r>
    </w:p>
    <w:p w:rsidR="001E335A" w:rsidRDefault="001E335A" w:rsidP="001E335A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1E335A" w:rsidRDefault="001E335A" w:rsidP="001E335A">
      <w:pPr>
        <w:spacing w:after="0" w:line="240" w:lineRule="auto"/>
        <w:jc w:val="both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2. Questions</w:t>
      </w:r>
    </w:p>
    <w:p w:rsidR="001E335A" w:rsidRPr="001E335A" w:rsidRDefault="001E335A" w:rsidP="001E335A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E35CA7" w:rsidRPr="005555D1" w:rsidRDefault="00E35CA7" w:rsidP="001E335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</w:rPr>
      </w:pPr>
      <w:r w:rsidRPr="005555D1">
        <w:rPr>
          <w:rFonts w:cstheme="minorHAnsi"/>
          <w:bCs/>
          <w:color w:val="000000"/>
        </w:rPr>
        <w:t>Discuss the importance of safe burials</w:t>
      </w:r>
    </w:p>
    <w:p w:rsidR="00E35CA7" w:rsidRPr="005555D1" w:rsidRDefault="00E35CA7" w:rsidP="001E335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</w:rPr>
      </w:pPr>
      <w:r w:rsidRPr="005555D1">
        <w:rPr>
          <w:rFonts w:cstheme="minorHAnsi"/>
          <w:bCs/>
          <w:color w:val="000000"/>
        </w:rPr>
        <w:t>Identify beliefs and cultural  practices associated with burials</w:t>
      </w:r>
    </w:p>
    <w:p w:rsidR="00E35CA7" w:rsidRPr="005555D1" w:rsidRDefault="00E35CA7" w:rsidP="001E335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</w:rPr>
      </w:pPr>
      <w:r w:rsidRPr="005555D1">
        <w:rPr>
          <w:rFonts w:cstheme="minorHAnsi"/>
          <w:bCs/>
          <w:color w:val="000000"/>
        </w:rPr>
        <w:t>Discuss challenges and opportunities for encourage  safe burial among ebola victims</w:t>
      </w:r>
    </w:p>
    <w:p w:rsidR="00E35CA7" w:rsidRPr="005555D1" w:rsidRDefault="00E35CA7" w:rsidP="001E335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</w:rPr>
      </w:pPr>
      <w:r w:rsidRPr="005555D1">
        <w:rPr>
          <w:rFonts w:cstheme="minorHAnsi"/>
          <w:bCs/>
          <w:color w:val="000000"/>
        </w:rPr>
        <w:t>Outline steps required to successful engage community healers, elde</w:t>
      </w:r>
      <w:r w:rsidR="001E335A">
        <w:rPr>
          <w:rFonts w:cstheme="minorHAnsi"/>
          <w:bCs/>
          <w:color w:val="000000"/>
        </w:rPr>
        <w:t>rs and leaders in safe burials.</w:t>
      </w:r>
    </w:p>
    <w:p w:rsidR="00E35CA7" w:rsidRPr="005555D1" w:rsidRDefault="00E35CA7" w:rsidP="001E335A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E35CA7" w:rsidRPr="005555D1" w:rsidRDefault="00E35CA7" w:rsidP="001E335A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sectPr w:rsidR="00E35CA7" w:rsidRPr="005555D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A72" w:rsidRDefault="006B6A72" w:rsidP="006B6A72">
      <w:pPr>
        <w:spacing w:after="0" w:line="240" w:lineRule="auto"/>
      </w:pPr>
      <w:r>
        <w:separator/>
      </w:r>
    </w:p>
  </w:endnote>
  <w:endnote w:type="continuationSeparator" w:id="0">
    <w:p w:rsidR="006B6A72" w:rsidRDefault="006B6A72" w:rsidP="006B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2444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B6A72" w:rsidRDefault="006B6A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50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6A72" w:rsidRDefault="006B6A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A72" w:rsidRDefault="006B6A72" w:rsidP="006B6A72">
      <w:pPr>
        <w:spacing w:after="0" w:line="240" w:lineRule="auto"/>
      </w:pPr>
      <w:r>
        <w:separator/>
      </w:r>
    </w:p>
  </w:footnote>
  <w:footnote w:type="continuationSeparator" w:id="0">
    <w:p w:rsidR="006B6A72" w:rsidRDefault="006B6A72" w:rsidP="006B6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2E0D"/>
    <w:multiLevelType w:val="hybridMultilevel"/>
    <w:tmpl w:val="B7E8D2AC"/>
    <w:lvl w:ilvl="0" w:tplc="1E064D7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3068A"/>
    <w:multiLevelType w:val="hybridMultilevel"/>
    <w:tmpl w:val="1E947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B103B"/>
    <w:multiLevelType w:val="hybridMultilevel"/>
    <w:tmpl w:val="3E247624"/>
    <w:lvl w:ilvl="0" w:tplc="123E2F0C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110CA"/>
    <w:multiLevelType w:val="hybridMultilevel"/>
    <w:tmpl w:val="3858D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6107BB"/>
    <w:multiLevelType w:val="hybridMultilevel"/>
    <w:tmpl w:val="5A1E97A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40858"/>
    <w:multiLevelType w:val="hybridMultilevel"/>
    <w:tmpl w:val="67663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B80B4A"/>
    <w:multiLevelType w:val="hybridMultilevel"/>
    <w:tmpl w:val="AB72C8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9A1516"/>
    <w:multiLevelType w:val="hybridMultilevel"/>
    <w:tmpl w:val="2E386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2D"/>
    <w:rsid w:val="000C1705"/>
    <w:rsid w:val="00190031"/>
    <w:rsid w:val="001C3782"/>
    <w:rsid w:val="001E335A"/>
    <w:rsid w:val="00256D7E"/>
    <w:rsid w:val="002C37A8"/>
    <w:rsid w:val="002F4341"/>
    <w:rsid w:val="00316F32"/>
    <w:rsid w:val="003C50D5"/>
    <w:rsid w:val="00444D06"/>
    <w:rsid w:val="005555D1"/>
    <w:rsid w:val="00572D95"/>
    <w:rsid w:val="00643B02"/>
    <w:rsid w:val="006469A2"/>
    <w:rsid w:val="006A35E8"/>
    <w:rsid w:val="006B6A72"/>
    <w:rsid w:val="0089152F"/>
    <w:rsid w:val="009C6913"/>
    <w:rsid w:val="00A73BD6"/>
    <w:rsid w:val="00B6152D"/>
    <w:rsid w:val="00C15706"/>
    <w:rsid w:val="00D13ABB"/>
    <w:rsid w:val="00E35CA7"/>
    <w:rsid w:val="00E5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A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5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A72"/>
  </w:style>
  <w:style w:type="paragraph" w:styleId="Footer">
    <w:name w:val="footer"/>
    <w:basedOn w:val="Normal"/>
    <w:link w:val="Foot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A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A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5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A72"/>
  </w:style>
  <w:style w:type="paragraph" w:styleId="Footer">
    <w:name w:val="footer"/>
    <w:basedOn w:val="Normal"/>
    <w:link w:val="Foot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2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054C7-BFC5-44FF-935E-81402D44D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Phori, Mr Peter - BZV</dc:creator>
  <cp:lastModifiedBy>Gomez, Paula</cp:lastModifiedBy>
  <cp:revision>7</cp:revision>
  <dcterms:created xsi:type="dcterms:W3CDTF">2014-10-28T09:06:00Z</dcterms:created>
  <dcterms:modified xsi:type="dcterms:W3CDTF">2014-12-16T13:29:00Z</dcterms:modified>
</cp:coreProperties>
</file>